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Marianne" w:hAnsi="Marianne"/>
          <w:b/>
          <w:b/>
        </w:rPr>
      </w:pPr>
      <w:r>
        <w:rPr>
          <w:rFonts w:ascii="Marianne" w:hAnsi="Marianne"/>
          <w:b/>
        </w:rPr>
      </w:r>
    </w:p>
    <w:p>
      <w:pPr>
        <w:pStyle w:val="Style14"/>
        <w:tabs>
          <w:tab w:val="left" w:pos="900" w:leader="none"/>
        </w:tabs>
        <w:spacing w:before="120" w:after="120"/>
        <w:jc w:val="center"/>
        <w:rPr/>
      </w:pPr>
      <w:r>
        <w:rPr>
          <w:rFonts w:ascii="Marianne" w:hAnsi="Marianne"/>
          <w:b/>
          <w:sz w:val="20"/>
          <w:szCs w:val="22"/>
        </w:rPr>
        <w:t>Campagne 2022 d’ouverture de</w:t>
      </w:r>
      <w:r>
        <w:rPr>
          <w:rFonts w:cs="Marianne" w:ascii="Marianne" w:hAnsi="Marianne"/>
          <w:b/>
          <w:sz w:val="20"/>
          <w:szCs w:val="22"/>
        </w:rPr>
        <w:t xml:space="preserve"> 30</w:t>
      </w:r>
      <w:r>
        <w:rPr>
          <w:rFonts w:ascii="Marianne" w:hAnsi="Marianne"/>
          <w:b/>
          <w:sz w:val="20"/>
          <w:szCs w:val="22"/>
        </w:rPr>
        <w:t xml:space="preserve"> places de CADA dans le département du Doubs</w:t>
      </w:r>
    </w:p>
    <w:p>
      <w:pPr>
        <w:pStyle w:val="Normal"/>
        <w:spacing w:before="120" w:after="120"/>
        <w:jc w:val="center"/>
        <w:rPr>
          <w:rFonts w:ascii="Marianne" w:hAnsi="Marianne"/>
          <w:b/>
          <w:b/>
        </w:rPr>
      </w:pPr>
      <w:r>
        <w:rPr>
          <w:rFonts w:ascii="Marianne" w:hAnsi="Marianne"/>
          <w:b/>
        </w:rPr>
      </w:r>
    </w:p>
    <w:p>
      <w:pPr>
        <w:pStyle w:val="Normal"/>
        <w:spacing w:before="120" w:after="120"/>
        <w:jc w:val="center"/>
        <w:rPr>
          <w:rFonts w:ascii="Marianne" w:hAnsi="Marianne"/>
        </w:rPr>
      </w:pPr>
      <w:r>
        <w:rPr>
          <w:rFonts w:ascii="Marianne" w:hAnsi="Marianne"/>
          <w:b/>
          <w:sz w:val="20"/>
          <w:szCs w:val="20"/>
        </w:rPr>
        <w:t>ANNEXE 3</w:t>
      </w:r>
    </w:p>
    <w:p>
      <w:pPr>
        <w:pStyle w:val="Normal"/>
        <w:spacing w:before="120" w:after="120"/>
        <w:jc w:val="center"/>
        <w:rPr>
          <w:b/>
          <w:b/>
        </w:rPr>
      </w:pPr>
      <w:r>
        <w:rPr>
          <w:rFonts w:ascii="Marianne" w:hAnsi="Marianne"/>
          <w:b/>
          <w:sz w:val="20"/>
          <w:szCs w:val="20"/>
        </w:rPr>
        <w:t>Modèle de budget prévisionnel</w:t>
      </w:r>
    </w:p>
    <w:p>
      <w:pPr>
        <w:pStyle w:val="Normal"/>
        <w:spacing w:before="120" w:after="120"/>
        <w:jc w:val="center"/>
        <w:rPr>
          <w:rFonts w:ascii="Marianne" w:hAnsi="Marianne"/>
          <w:b/>
          <w:b/>
        </w:rPr>
      </w:pPr>
      <w:r>
        <w:rPr>
          <w:rFonts w:ascii="Marianne" w:hAnsi="Marianne"/>
          <w:b/>
        </w:rPr>
      </w:r>
    </w:p>
    <w:tbl>
      <w:tblPr>
        <w:tblW w:w="9750" w:type="dxa"/>
        <w:jc w:val="left"/>
        <w:tblInd w:w="-367"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top w:w="0" w:type="dxa"/>
          <w:left w:w="10" w:type="dxa"/>
          <w:bottom w:w="0" w:type="dxa"/>
          <w:right w:w="70" w:type="dxa"/>
        </w:tblCellMar>
        <w:tblLook w:firstRow="1" w:noVBand="1" w:lastRow="0" w:firstColumn="1" w:lastColumn="0" w:noHBand="0" w:val="04a0"/>
      </w:tblPr>
      <w:tblGrid>
        <w:gridCol w:w="5100"/>
        <w:gridCol w:w="4649"/>
      </w:tblGrid>
      <w:tr>
        <w:trPr>
          <w:trHeight w:val="435" w:hRule="atLeast"/>
        </w:trPr>
        <w:tc>
          <w:tcPr>
            <w:tcW w:w="5100"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jc w:val="center"/>
              <w:rPr/>
            </w:pPr>
            <w:r>
              <w:rPr>
                <w:rFonts w:ascii="Marianne" w:hAnsi="Marianne"/>
                <w:b/>
                <w:bCs/>
                <w:color w:val="000000"/>
                <w:sz w:val="20"/>
                <w:szCs w:val="20"/>
              </w:rPr>
              <w:t>Opérateur</w:t>
            </w:r>
          </w:p>
        </w:tc>
        <w:tc>
          <w:tcPr>
            <w:tcW w:w="4649"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9" w:type="dxa"/>
            </w:tcMar>
            <w:vAlign w:val="center"/>
          </w:tcPr>
          <w:p>
            <w:pPr>
              <w:pStyle w:val="Normal"/>
              <w:jc w:val="center"/>
              <w:rPr>
                <w:rFonts w:ascii="Calibri" w:hAnsi="Calibri"/>
                <w:b/>
                <w:b/>
                <w:bCs/>
                <w:color w:val="000000"/>
                <w:sz w:val="22"/>
                <w:szCs w:val="22"/>
              </w:rPr>
            </w:pPr>
            <w:r>
              <w:rPr>
                <w:rFonts w:ascii="Marianne" w:hAnsi="Marianne"/>
                <w:b/>
                <w:bCs/>
                <w:color w:val="000000"/>
                <w:sz w:val="22"/>
                <w:szCs w:val="22"/>
              </w:rPr>
              <w:t> </w:t>
            </w:r>
          </w:p>
        </w:tc>
      </w:tr>
      <w:tr>
        <w:trPr>
          <w:trHeight w:val="555" w:hRule="atLeast"/>
        </w:trPr>
        <w:tc>
          <w:tcPr>
            <w:tcW w:w="5100"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jc w:val="center"/>
              <w:rPr/>
            </w:pPr>
            <w:r>
              <w:rPr>
                <w:rFonts w:ascii="Marianne" w:hAnsi="Marianne"/>
                <w:b/>
                <w:bCs/>
                <w:color w:val="000000"/>
                <w:sz w:val="20"/>
                <w:szCs w:val="20"/>
              </w:rPr>
              <w:t>Nombre de places gérées en 2022</w:t>
            </w:r>
          </w:p>
        </w:tc>
        <w:tc>
          <w:tcPr>
            <w:tcW w:w="464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9" w:type="dxa"/>
            </w:tcMar>
            <w:vAlign w:val="center"/>
          </w:tcPr>
          <w:p>
            <w:pPr>
              <w:pStyle w:val="Normal"/>
              <w:jc w:val="center"/>
              <w:rPr>
                <w:rFonts w:ascii="Calibri" w:hAnsi="Calibri"/>
                <w:b/>
                <w:b/>
                <w:bCs/>
                <w:color w:val="000000"/>
                <w:sz w:val="22"/>
                <w:szCs w:val="22"/>
              </w:rPr>
            </w:pPr>
            <w:r>
              <w:rPr>
                <w:rFonts w:ascii="Marianne" w:hAnsi="Marianne"/>
                <w:b/>
                <w:bCs/>
                <w:color w:val="000000"/>
                <w:sz w:val="22"/>
                <w:szCs w:val="22"/>
              </w:rPr>
              <w:t> </w:t>
            </w:r>
          </w:p>
        </w:tc>
      </w:tr>
      <w:tr>
        <w:trPr>
          <w:trHeight w:val="585" w:hRule="atLeast"/>
        </w:trPr>
        <w:tc>
          <w:tcPr>
            <w:tcW w:w="5100"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10" w:type="dxa"/>
            </w:tcMar>
            <w:vAlign w:val="center"/>
          </w:tcPr>
          <w:p>
            <w:pPr>
              <w:pStyle w:val="Normal"/>
              <w:jc w:val="center"/>
              <w:rPr/>
            </w:pPr>
            <w:r>
              <w:rPr>
                <w:rFonts w:ascii="Marianne" w:hAnsi="Marianne"/>
                <w:b/>
                <w:bCs/>
                <w:color w:val="000000"/>
                <w:sz w:val="20"/>
                <w:szCs w:val="20"/>
              </w:rPr>
              <w:t>Nombre de journées prévisionnelles en 2022</w:t>
            </w:r>
          </w:p>
        </w:tc>
        <w:tc>
          <w:tcPr>
            <w:tcW w:w="464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9" w:type="dxa"/>
            </w:tcMar>
            <w:vAlign w:val="center"/>
          </w:tcPr>
          <w:p>
            <w:pPr>
              <w:pStyle w:val="Normal"/>
              <w:jc w:val="center"/>
              <w:rPr>
                <w:rFonts w:ascii="Calibri" w:hAnsi="Calibri"/>
                <w:b/>
                <w:b/>
                <w:bCs/>
                <w:color w:val="000000"/>
                <w:sz w:val="22"/>
                <w:szCs w:val="22"/>
              </w:rPr>
            </w:pPr>
            <w:r>
              <w:rPr>
                <w:rFonts w:ascii="Marianne" w:hAnsi="Marianne"/>
                <w:b/>
                <w:bCs/>
                <w:color w:val="000000"/>
                <w:sz w:val="22"/>
                <w:szCs w:val="22"/>
              </w:rPr>
              <w:t> </w:t>
            </w:r>
          </w:p>
        </w:tc>
      </w:tr>
    </w:tbl>
    <w:p>
      <w:pPr>
        <w:pStyle w:val="Normal"/>
        <w:spacing w:lineRule="auto" w:line="259" w:before="0" w:after="160"/>
        <w:jc w:val="both"/>
        <w:rPr>
          <w:rFonts w:ascii="Marianne" w:hAnsi="Marianne"/>
          <w:b/>
          <w:b/>
          <w:sz w:val="28"/>
          <w:szCs w:val="28"/>
        </w:rPr>
      </w:pPr>
      <w:r>
        <w:rPr>
          <w:rFonts w:ascii="Marianne" w:hAnsi="Marianne"/>
          <w:b/>
          <w:sz w:val="28"/>
          <w:szCs w:val="28"/>
        </w:rPr>
      </w:r>
    </w:p>
    <w:p>
      <w:pPr>
        <w:pStyle w:val="Normal"/>
        <w:tabs>
          <w:tab w:val="left" w:pos="0" w:leader="none"/>
        </w:tabs>
        <w:jc w:val="both"/>
        <w:rPr/>
      </w:pPr>
      <w:r>
        <w:rPr>
          <w:rFonts w:cs="Marianne;Calibri" w:ascii="Marianne" w:hAnsi="Marianne"/>
          <w:b/>
          <w:bCs/>
          <w:sz w:val="20"/>
          <w:szCs w:val="20"/>
        </w:rPr>
        <w:t>À compléter en deux exemplaires : un budget prévisionnel pour 2022 et un budget prévisionnel pour 2023 en année pleine au format normalisé prévu par le code de l’action sociale et des familles</w:t>
      </w:r>
    </w:p>
    <w:p>
      <w:pPr>
        <w:pStyle w:val="Normal"/>
        <w:tabs>
          <w:tab w:val="left" w:pos="0" w:leader="none"/>
        </w:tabs>
        <w:jc w:val="both"/>
        <w:rPr>
          <w:rFonts w:ascii="Marianne" w:hAnsi="Marianne" w:cs="Marianne;Calibri"/>
          <w:b/>
          <w:b/>
          <w:bCs/>
          <w:sz w:val="20"/>
          <w:szCs w:val="20"/>
        </w:rPr>
      </w:pPr>
      <w:r>
        <w:rPr>
          <w:rFonts w:cs="Marianne;Calibri" w:ascii="Marianne" w:hAnsi="Marianne"/>
          <w:b/>
          <w:bCs/>
          <w:sz w:val="20"/>
          <w:szCs w:val="20"/>
        </w:rPr>
      </w:r>
    </w:p>
    <w:p>
      <w:pPr>
        <w:pStyle w:val="Normal"/>
        <w:tabs>
          <w:tab w:val="left" w:pos="0" w:leader="none"/>
        </w:tabs>
        <w:jc w:val="both"/>
        <w:rPr>
          <w:u w:val="single"/>
        </w:rPr>
      </w:pPr>
      <w:r>
        <w:rPr>
          <w:rFonts w:cs="Marianne;Calibri" w:ascii="Marianne" w:hAnsi="Marianne"/>
          <w:b/>
          <w:bCs/>
          <w:sz w:val="20"/>
          <w:szCs w:val="20"/>
          <w:u w:val="single"/>
        </w:rPr>
        <w:t>S’agissant des budgets prévisionnels, ils devront prendre en compte un coût cible de 19,50 euros par jour et par place.</w:t>
      </w:r>
    </w:p>
    <w:p>
      <w:pPr>
        <w:pStyle w:val="Normal"/>
        <w:tabs>
          <w:tab w:val="left" w:pos="0" w:leader="none"/>
        </w:tabs>
        <w:jc w:val="both"/>
        <w:rPr>
          <w:rFonts w:ascii="Marianne" w:hAnsi="Marianne" w:cs="Marianne;Calibri"/>
          <w:sz w:val="20"/>
          <w:szCs w:val="20"/>
        </w:rPr>
      </w:pPr>
      <w:r>
        <w:rPr>
          <w:rFonts w:cs="Marianne;Calibri" w:ascii="Marianne" w:hAnsi="Marianne"/>
          <w:sz w:val="20"/>
          <w:szCs w:val="20"/>
        </w:rPr>
      </w:r>
    </w:p>
    <w:p>
      <w:pPr>
        <w:pStyle w:val="Normal"/>
        <w:tabs>
          <w:tab w:val="left" w:pos="0" w:leader="none"/>
        </w:tabs>
        <w:jc w:val="both"/>
        <w:rPr/>
      </w:pPr>
      <w:r>
        <w:rPr>
          <w:rFonts w:cs="Marianne;Calibri" w:ascii="Marianne" w:hAnsi="Marianne"/>
          <w:b w:val="false"/>
          <w:bCs w:val="false"/>
          <w:sz w:val="20"/>
          <w:szCs w:val="20"/>
        </w:rPr>
        <w:t>S’il s’agit d’une extension, le budget devra faire apparaître, en charges d’exploitation, les reconductions de charges liées aux places déjà existantes ainsi que les coûts supplémentaires résultant des places qui seront créées.</w:t>
      </w:r>
    </w:p>
    <w:p>
      <w:pPr>
        <w:pStyle w:val="Normal"/>
        <w:tabs>
          <w:tab w:val="left" w:pos="0" w:leader="none"/>
        </w:tabs>
        <w:jc w:val="both"/>
        <w:rPr>
          <w:rFonts w:ascii="Marianne" w:hAnsi="Marianne" w:cs="Marianne;Calibri"/>
          <w:b/>
          <w:b/>
          <w:bCs/>
          <w:sz w:val="20"/>
          <w:szCs w:val="20"/>
        </w:rPr>
      </w:pPr>
      <w:r>
        <w:rPr>
          <w:rFonts w:cs="Marianne;Calibri" w:ascii="Marianne" w:hAnsi="Marianne"/>
          <w:b/>
          <w:bCs/>
          <w:sz w:val="20"/>
          <w:szCs w:val="20"/>
        </w:rPr>
      </w:r>
    </w:p>
    <w:p>
      <w:pPr>
        <w:pStyle w:val="Normal"/>
        <w:tabs>
          <w:tab w:val="left" w:pos="0" w:leader="none"/>
        </w:tabs>
        <w:spacing w:lineRule="auto" w:line="259" w:before="0" w:after="160"/>
        <w:jc w:val="both"/>
        <w:rPr>
          <w:rFonts w:ascii="Marianne" w:hAnsi="Marianne"/>
          <w:b/>
          <w:b/>
          <w:sz w:val="22"/>
          <w:szCs w:val="22"/>
        </w:rPr>
      </w:pPr>
      <w:r>
        <w:rPr>
          <w:rFonts w:cs="Marianne;Calibri" w:ascii="Marianne" w:hAnsi="Marianne"/>
          <w:b/>
          <w:bCs/>
          <w:sz w:val="20"/>
          <w:szCs w:val="20"/>
        </w:rPr>
        <w:t>Il est par ailleurs rappelé que le gestionnaire s’engage à adopter le cadre budgétaire normalisé applicable aux établissements sociaux et médico-sociaux en vigueur.</w:t>
      </w:r>
    </w:p>
    <w:p>
      <w:pPr>
        <w:pStyle w:val="Normal"/>
        <w:tabs>
          <w:tab w:val="left" w:pos="0" w:leader="none"/>
        </w:tabs>
        <w:spacing w:lineRule="auto" w:line="259" w:before="0" w:after="160"/>
        <w:jc w:val="both"/>
        <w:rPr>
          <w:rFonts w:cs="Marianne;Calibri"/>
          <w:bCs/>
          <w:sz w:val="20"/>
          <w:szCs w:val="20"/>
        </w:rPr>
      </w:pPr>
      <w:r>
        <w:rPr>
          <w:rFonts w:cs="Marianne;Calibri"/>
          <w:bCs/>
          <w:sz w:val="20"/>
          <w:szCs w:val="20"/>
        </w:rPr>
      </w:r>
    </w:p>
    <w:tbl>
      <w:tblPr>
        <w:tblW w:w="9765" w:type="dxa"/>
        <w:jc w:val="left"/>
        <w:tblInd w:w="-34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10" w:type="dxa"/>
          <w:bottom w:w="0" w:type="dxa"/>
          <w:right w:w="70" w:type="dxa"/>
        </w:tblCellMar>
        <w:tblLook w:firstRow="1" w:noVBand="1" w:lastRow="0" w:firstColumn="1" w:lastColumn="0" w:noHBand="0" w:val="04a0"/>
      </w:tblPr>
      <w:tblGrid>
        <w:gridCol w:w="2639"/>
        <w:gridCol w:w="2026"/>
        <w:gridCol w:w="1"/>
        <w:gridCol w:w="2979"/>
        <w:gridCol w:w="2119"/>
      </w:tblGrid>
      <w:tr>
        <w:trPr>
          <w:trHeight w:val="37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jc w:val="center"/>
              <w:rPr>
                <w:b/>
                <w:b/>
                <w:bCs/>
                <w:color w:val="000000"/>
                <w:sz w:val="18"/>
                <w:szCs w:val="18"/>
              </w:rPr>
            </w:pPr>
            <w:r>
              <w:rPr>
                <w:rFonts w:ascii="Marianne" w:hAnsi="Marianne"/>
                <w:b/>
                <w:bCs/>
                <w:color w:val="000000"/>
                <w:sz w:val="24"/>
                <w:szCs w:val="24"/>
              </w:rPr>
              <w:t>CHARGES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center"/>
              <w:rPr>
                <w:b/>
                <w:b/>
                <w:bCs/>
                <w:color w:val="000000"/>
                <w:sz w:val="18"/>
                <w:szCs w:val="18"/>
              </w:rPr>
            </w:pPr>
            <w:r>
              <w:rPr>
                <w:rFonts w:ascii="Marianne" w:hAnsi="Marianne"/>
                <w:b/>
                <w:bCs/>
                <w:color w:val="000000"/>
                <w:sz w:val="24"/>
                <w:szCs w:val="24"/>
              </w:rPr>
              <w:t>Montant</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center"/>
              <w:rPr>
                <w:b/>
                <w:b/>
                <w:bCs/>
                <w:color w:val="000000"/>
                <w:sz w:val="18"/>
                <w:szCs w:val="18"/>
              </w:rPr>
            </w:pPr>
            <w:r>
              <w:rPr>
                <w:rFonts w:ascii="Marianne" w:hAnsi="Marianne"/>
                <w:b/>
                <w:bCs/>
                <w:color w:val="000000"/>
                <w:sz w:val="24"/>
                <w:szCs w:val="24"/>
              </w:rPr>
              <w:t>PRODUITS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center"/>
              <w:rPr>
                <w:b/>
                <w:b/>
                <w:bCs/>
                <w:color w:val="000000"/>
                <w:sz w:val="18"/>
                <w:szCs w:val="18"/>
              </w:rPr>
            </w:pPr>
            <w:r>
              <w:rPr>
                <w:rFonts w:ascii="Marianne" w:hAnsi="Marianne"/>
                <w:b/>
                <w:bCs/>
                <w:color w:val="000000"/>
                <w:sz w:val="24"/>
                <w:szCs w:val="24"/>
              </w:rPr>
              <w:t>Montant</w:t>
            </w:r>
          </w:p>
        </w:tc>
      </w:tr>
      <w:tr>
        <w:trPr>
          <w:trHeight w:val="300" w:hRule="atLeast"/>
        </w:trPr>
        <w:tc>
          <w:tcPr>
            <w:tcW w:w="4665"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000000" w:fill="CCFFFF" w:val="clear"/>
            <w:tcMar>
              <w:left w:w="10" w:type="dxa"/>
            </w:tcMar>
            <w:vAlign w:val="center"/>
          </w:tcPr>
          <w:p>
            <w:pPr>
              <w:pStyle w:val="Normal"/>
              <w:jc w:val="center"/>
              <w:rPr>
                <w:color w:val="000000"/>
                <w:sz w:val="18"/>
                <w:szCs w:val="18"/>
              </w:rPr>
            </w:pPr>
            <w:r>
              <w:rPr>
                <w:rFonts w:ascii="Marianne" w:hAnsi="Marianne"/>
                <w:color w:val="000000"/>
                <w:sz w:val="24"/>
                <w:szCs w:val="24"/>
              </w:rPr>
              <w:t>CHARGES DIRECTES</w:t>
            </w:r>
          </w:p>
        </w:tc>
        <w:tc>
          <w:tcPr>
            <w:tcW w:w="5099" w:type="dxa"/>
            <w:gridSpan w:val="3"/>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000000" w:fill="CCFFFF" w:val="clear"/>
            <w:tcMar>
              <w:left w:w="19" w:type="dxa"/>
            </w:tcMar>
            <w:vAlign w:val="center"/>
          </w:tcPr>
          <w:p>
            <w:pPr>
              <w:pStyle w:val="Normal"/>
              <w:jc w:val="center"/>
              <w:rPr>
                <w:color w:val="000000"/>
                <w:sz w:val="18"/>
                <w:szCs w:val="18"/>
              </w:rPr>
            </w:pPr>
            <w:r>
              <w:rPr>
                <w:rFonts w:ascii="Marianne" w:hAnsi="Marianne"/>
                <w:color w:val="000000"/>
                <w:sz w:val="24"/>
                <w:szCs w:val="24"/>
              </w:rPr>
              <w:t xml:space="preserve">RESSOURCES DIRECTES </w:t>
            </w:r>
          </w:p>
        </w:tc>
      </w:tr>
      <w:tr>
        <w:trPr>
          <w:trHeight w:val="73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sz w:val="18"/>
                <w:szCs w:val="18"/>
              </w:rPr>
            </w:pPr>
            <w:r>
              <w:rPr>
                <w:rFonts w:ascii="Marianne" w:hAnsi="Marianne"/>
                <w:b/>
                <w:bCs/>
                <w:color w:val="000000"/>
                <w:sz w:val="20"/>
                <w:szCs w:val="20"/>
              </w:rPr>
              <w:t>60 – Achats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b/>
                <w:b/>
                <w:bCs/>
                <w:color w:val="000000"/>
                <w:sz w:val="18"/>
                <w:szCs w:val="18"/>
              </w:rPr>
            </w:pPr>
            <w:r>
              <w:rPr>
                <w:rFonts w:ascii="Marianne" w:hAnsi="Marianne"/>
                <w:b/>
                <w:bCs/>
                <w:color w:val="000000"/>
                <w:sz w:val="20"/>
                <w:szCs w:val="20"/>
              </w:rPr>
              <w:t>70 – Vente de produits finis, de marchandises, prestations de services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Prestations de services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Achats matières et fournitures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74 – Subventions d’exploitation</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Autres fournitures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État : préciser le(s) ministère(s) sollicité(s)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61 – Services extérieurs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r>
              <w:rPr>
                <w:rFonts w:ascii="Marianne" w:hAnsi="Marianne"/>
                <w:color w:val="000000"/>
                <w:sz w:val="20"/>
                <w:szCs w:val="20"/>
              </w:rPr>
              <w:t>Ministère de l’Intérieur</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color w:val="000000"/>
                <w:sz w:val="20"/>
                <w:szCs w:val="20"/>
              </w:rPr>
              <w:t>Locations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Entretien et réparation</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Région(s)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Assurance</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Documentation</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Département(s)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0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sz w:val="18"/>
                <w:szCs w:val="18"/>
              </w:rPr>
            </w:pPr>
            <w:r>
              <w:rPr>
                <w:rFonts w:ascii="Marianne" w:hAnsi="Marianne"/>
                <w:b/>
                <w:bCs/>
                <w:color w:val="000000"/>
                <w:sz w:val="20"/>
                <w:szCs w:val="20"/>
              </w:rPr>
              <w:t> </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62 – Autres services extérieurs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9" w:type="dxa"/>
            </w:tcMar>
            <w:vAlign w:val="bottom"/>
          </w:tcPr>
          <w:p>
            <w:pPr>
              <w:pStyle w:val="Normal"/>
              <w:rPr>
                <w:color w:val="000000"/>
                <w:sz w:val="18"/>
                <w:szCs w:val="18"/>
              </w:rPr>
            </w:pPr>
            <w:bookmarkStart w:id="0" w:name="RANGE!D21"/>
            <w:bookmarkEnd w:id="0"/>
            <w:r>
              <w:rPr>
                <w:rFonts w:ascii="Marianne" w:hAnsi="Marianne"/>
                <w:color w:val="000000"/>
                <w:sz w:val="20"/>
                <w:szCs w:val="20"/>
              </w:rPr>
              <w:t>Intercommunalité(s) : EPCI</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Rémunérations intermédiaires et honoraires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Publicité, publication</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Commune(s)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Déplacements, missions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Services bancaires, autres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sz w:val="18"/>
                <w:szCs w:val="18"/>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Autres services extérieurs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Organismes sociaux (détailler)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63 – Impôts et taxes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Impôts et taxes sur rémunération,</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sz w:val="18"/>
                <w:szCs w:val="18"/>
              </w:rPr>
            </w:pPr>
            <w:r>
              <w:rPr>
                <w:rFonts w:ascii="Marianne" w:hAnsi="Marianne"/>
                <w:color w:val="000000"/>
                <w:sz w:val="20"/>
                <w:szCs w:val="20"/>
              </w:rPr>
              <w:t>Fonds européens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Autres impôts et taxes</w:t>
            </w:r>
          </w:p>
        </w:tc>
        <w:tc>
          <w:tcPr>
            <w:tcW w:w="2027" w:type="dxa"/>
            <w:gridSpan w:val="2"/>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 </w:t>
            </w:r>
            <w:r>
              <w:rPr>
                <w:rFonts w:ascii="Marianne" w:hAnsi="Marianne"/>
                <w:color w:val="000000"/>
                <w:sz w:val="20"/>
                <w:szCs w:val="20"/>
              </w:rPr>
              <w:t>Fonds Asile Migration et Intégration</w:t>
            </w:r>
          </w:p>
        </w:tc>
        <w:tc>
          <w:tcPr>
            <w:tcW w:w="21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735" w:hRule="atLeast"/>
        </w:trPr>
        <w:tc>
          <w:tcPr>
            <w:tcW w:w="2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40" w:type="dxa"/>
            </w:tcMar>
            <w:vAlign w:val="center"/>
          </w:tcPr>
          <w:p>
            <w:pPr>
              <w:pStyle w:val="Normal"/>
              <w:rPr>
                <w:rFonts w:ascii="Marianne" w:hAnsi="Marianne"/>
                <w:sz w:val="20"/>
                <w:szCs w:val="20"/>
              </w:rPr>
            </w:pPr>
            <w:r>
              <w:rPr>
                <w:rFonts w:ascii="Marianne" w:hAnsi="Marianne"/>
                <w:b/>
                <w:bCs/>
                <w:color w:val="000000"/>
                <w:sz w:val="20"/>
                <w:szCs w:val="20"/>
              </w:rPr>
              <w:t>64 – Charges de personnel</w:t>
            </w:r>
          </w:p>
        </w:tc>
        <w:tc>
          <w:tcPr>
            <w:tcW w:w="20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40"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40" w:type="dxa"/>
            </w:tcMar>
            <w:vAlign w:val="center"/>
          </w:tcPr>
          <w:p>
            <w:pPr>
              <w:pStyle w:val="Normal"/>
              <w:rPr>
                <w:rFonts w:ascii="Marianne" w:hAnsi="Marianne"/>
                <w:sz w:val="20"/>
                <w:szCs w:val="20"/>
              </w:rPr>
            </w:pPr>
            <w:r>
              <w:rPr>
                <w:rFonts w:ascii="Marianne" w:hAnsi="Marianne"/>
                <w:color w:val="000000"/>
                <w:sz w:val="20"/>
                <w:szCs w:val="20"/>
              </w:rPr>
              <w:t>L’Agence de services et de paiement (ASP -emplois aidés-)</w:t>
            </w:r>
          </w:p>
        </w:tc>
        <w:tc>
          <w:tcPr>
            <w:tcW w:w="2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40"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r>
      <w:tr>
        <w:trPr>
          <w:trHeight w:val="495" w:hRule="atLeast"/>
        </w:trPr>
        <w:tc>
          <w:tcPr>
            <w:tcW w:w="263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Rémunération des personnels</w:t>
            </w:r>
          </w:p>
        </w:tc>
        <w:tc>
          <w:tcPr>
            <w:tcW w:w="2027" w:type="dxa"/>
            <w:gridSpan w:val="2"/>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sz w:val="18"/>
                <w:szCs w:val="18"/>
              </w:rPr>
            </w:pPr>
            <w:r>
              <w:rPr>
                <w:rFonts w:ascii="Marianne" w:hAnsi="Marianne"/>
                <w:color w:val="000000"/>
                <w:sz w:val="20"/>
                <w:szCs w:val="20"/>
              </w:rPr>
              <w:t>Autres établissements publics</w:t>
            </w:r>
          </w:p>
        </w:tc>
        <w:tc>
          <w:tcPr>
            <w:tcW w:w="2119"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Charges sociales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color w:val="000000"/>
                <w:sz w:val="18"/>
                <w:szCs w:val="18"/>
              </w:rPr>
            </w:pPr>
            <w:r>
              <w:rPr>
                <w:rFonts w:ascii="Marianne" w:hAnsi="Marianne"/>
                <w:color w:val="000000"/>
                <w:sz w:val="20"/>
                <w:szCs w:val="20"/>
              </w:rPr>
              <w:t>Autres charges de personnel</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75 – Autres produits de gestion courante</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65 – Autres charges de gestion courante</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sz w:val="18"/>
                <w:szCs w:val="18"/>
              </w:rPr>
            </w:pPr>
            <w:r>
              <w:rPr>
                <w:rFonts w:ascii="Marianne" w:hAnsi="Marianne"/>
                <w:color w:val="000000"/>
                <w:sz w:val="20"/>
                <w:szCs w:val="20"/>
              </w:rPr>
              <w:t>Dont cotisations, dons manuels ou legs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rPr>
            </w:pPr>
            <w:r>
              <w:rPr>
                <w:b/>
                <w:bCs/>
                <w:color w:val="000000"/>
              </w:rPr>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sz w:val="18"/>
                <w:szCs w:val="18"/>
              </w:rPr>
            </w:pPr>
            <w:r>
              <w:rPr>
                <w:rFonts w:ascii="Marianne" w:hAnsi="Marianne"/>
                <w:color w:val="000000"/>
                <w:sz w:val="20"/>
                <w:szCs w:val="20"/>
              </w:rPr>
              <w:t>Aides privées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66 – Charges financières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76 – Produits financiers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67 – Charges exceptionnelles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77 – produits exceptionnels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68 – Dotation aux amortissements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b/>
                <w:b/>
                <w:bCs/>
                <w:color w:val="000000"/>
                <w:sz w:val="18"/>
                <w:szCs w:val="18"/>
              </w:rPr>
            </w:pPr>
            <w:r>
              <w:rPr>
                <w:rFonts w:ascii="Marianne" w:hAnsi="Marianne"/>
                <w:b/>
                <w:bCs/>
                <w:color w:val="000000"/>
                <w:sz w:val="20"/>
                <w:szCs w:val="20"/>
              </w:rPr>
              <w:t>78 – Reprises sur amortissements et provisions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sz w:val="18"/>
                <w:szCs w:val="18"/>
              </w:rPr>
            </w:pPr>
            <w:r>
              <w:rPr>
                <w:rFonts w:ascii="Marianne" w:hAnsi="Marianne"/>
                <w:color w:val="000000"/>
                <w:sz w:val="20"/>
                <w:szCs w:val="20"/>
              </w:rPr>
              <w:t> </w:t>
            </w:r>
          </w:p>
        </w:tc>
      </w:tr>
      <w:tr>
        <w:trPr>
          <w:trHeight w:val="480" w:hRule="atLeast"/>
        </w:trPr>
        <w:tc>
          <w:tcPr>
            <w:tcW w:w="4665" w:type="dxa"/>
            <w:gridSpan w:val="2"/>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000000" w:fill="CCFFFF" w:val="clear"/>
            <w:tcMar>
              <w:left w:w="10" w:type="dxa"/>
            </w:tcMar>
            <w:vAlign w:val="center"/>
          </w:tcPr>
          <w:p>
            <w:pPr>
              <w:pStyle w:val="Normal"/>
              <w:jc w:val="center"/>
              <w:rPr>
                <w:rFonts w:ascii="Marianne" w:hAnsi="Marianne"/>
                <w:sz w:val="24"/>
                <w:szCs w:val="24"/>
              </w:rPr>
            </w:pPr>
            <w:r>
              <w:rPr>
                <w:rFonts w:ascii="Marianne" w:hAnsi="Marianne"/>
                <w:b/>
                <w:bCs/>
                <w:color w:val="000000"/>
                <w:sz w:val="24"/>
                <w:szCs w:val="24"/>
              </w:rPr>
              <w:t xml:space="preserve">CHARGES INDIRECTES RÉPARTIES AFFECTÉES </w:t>
            </w:r>
          </w:p>
        </w:tc>
        <w:tc>
          <w:tcPr>
            <w:tcW w:w="5099" w:type="dxa"/>
            <w:gridSpan w:val="3"/>
            <w:tcBorders>
              <w:top w:val="single" w:sz="8" w:space="0" w:color="00000A"/>
              <w:left w:val="single" w:sz="8" w:space="0" w:color="000001"/>
              <w:bottom w:val="single" w:sz="8" w:space="0" w:color="00000A"/>
              <w:right w:val="single" w:sz="8" w:space="0" w:color="000001"/>
              <w:insideH w:val="single" w:sz="8" w:space="0" w:color="00000A"/>
              <w:insideV w:val="single" w:sz="8" w:space="0" w:color="000001"/>
            </w:tcBorders>
            <w:shd w:color="000000" w:fill="CCFFFF" w:val="clear"/>
            <w:tcMar>
              <w:left w:w="19" w:type="dxa"/>
            </w:tcMar>
            <w:vAlign w:val="center"/>
          </w:tcPr>
          <w:p>
            <w:pPr>
              <w:pStyle w:val="Normal"/>
              <w:jc w:val="center"/>
              <w:rPr/>
            </w:pPr>
            <w:r>
              <w:rPr>
                <w:rFonts w:ascii="Marianne" w:hAnsi="Marianne"/>
                <w:b/>
                <w:bCs/>
                <w:color w:val="000000"/>
                <w:sz w:val="24"/>
                <w:szCs w:val="24"/>
              </w:rPr>
              <w:t>RESSOURCES PROPRES AFFECTÉES</w:t>
            </w:r>
          </w:p>
        </w:tc>
      </w:tr>
      <w:tr>
        <w:trPr>
          <w:trHeight w:val="82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sz w:val="18"/>
                <w:szCs w:val="18"/>
              </w:rPr>
            </w:pPr>
            <w:r>
              <w:rPr>
                <w:rFonts w:ascii="Marianne" w:hAnsi="Marianne"/>
                <w:b/>
                <w:bCs/>
                <w:color w:val="000000"/>
                <w:sz w:val="20"/>
                <w:szCs w:val="20"/>
              </w:rPr>
              <w:t>Charges fixes de fonctionnement</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color w:val="000000"/>
                <w:sz w:val="20"/>
                <w:szCs w:val="20"/>
              </w:rPr>
            </w:pPr>
            <w:r>
              <w:rPr>
                <w:rFonts w:ascii="Marianne" w:hAnsi="Marianne"/>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b/>
                <w:b/>
                <w:bCs/>
                <w:color w:val="000000"/>
              </w:rPr>
            </w:pPr>
            <w:r>
              <w:rPr>
                <w:b/>
                <w:bCs/>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sz w:val="18"/>
                <w:szCs w:val="18"/>
              </w:rPr>
            </w:pPr>
            <w:r>
              <w:rPr>
                <w:rFonts w:ascii="Marianne" w:hAnsi="Marianne"/>
                <w:b/>
                <w:bCs/>
                <w:color w:val="000000"/>
                <w:sz w:val="20"/>
                <w:szCs w:val="20"/>
              </w:rPr>
              <w:t>Frais financiers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6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b/>
                <w:b/>
                <w:bCs/>
                <w:color w:val="000000"/>
                <w:sz w:val="18"/>
                <w:szCs w:val="18"/>
              </w:rPr>
            </w:pPr>
            <w:r>
              <w:rPr>
                <w:rFonts w:ascii="Marianne" w:hAnsi="Marianne"/>
                <w:b/>
                <w:bCs/>
                <w:color w:val="000000"/>
                <w:sz w:val="20"/>
                <w:szCs w:val="20"/>
              </w:rPr>
              <w:t>Autres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b/>
                <w:b/>
                <w:bCs/>
                <w:color w:val="000000"/>
              </w:rPr>
            </w:pPr>
            <w:r>
              <w:rPr>
                <w:b/>
                <w:bCs/>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60"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jc w:val="both"/>
              <w:rPr>
                <w:b/>
                <w:b/>
                <w:bCs/>
                <w:color w:val="000000"/>
                <w:sz w:val="18"/>
                <w:szCs w:val="18"/>
              </w:rPr>
            </w:pPr>
            <w:r>
              <w:rPr>
                <w:rFonts w:ascii="Marianne" w:hAnsi="Marianne"/>
                <w:b/>
                <w:bCs/>
                <w:color w:val="000000"/>
                <w:sz w:val="20"/>
                <w:szCs w:val="20"/>
              </w:rPr>
              <w:t>TOTAL DES CHARGES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b/>
                <w:b/>
                <w:bCs/>
                <w:color w:val="000000"/>
                <w:sz w:val="18"/>
                <w:szCs w:val="18"/>
              </w:rPr>
            </w:pPr>
            <w:r>
              <w:rPr>
                <w:rFonts w:ascii="Marianne" w:hAnsi="Marianne"/>
                <w:b/>
                <w:bCs/>
                <w:color w:val="000000"/>
                <w:sz w:val="20"/>
                <w:szCs w:val="20"/>
              </w:rPr>
              <w:t>TOTAL DES PRODUITS</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r>
      <w:tr>
        <w:trPr>
          <w:trHeight w:val="390" w:hRule="atLeast"/>
        </w:trPr>
        <w:tc>
          <w:tcPr>
            <w:tcW w:w="9764" w:type="dxa"/>
            <w:gridSpan w:val="5"/>
            <w:tcBorders>
              <w:top w:val="single" w:sz="8" w:space="0" w:color="00000A"/>
              <w:left w:val="single" w:sz="8" w:space="0" w:color="00000A"/>
              <w:bottom w:val="single" w:sz="8" w:space="0" w:color="00000A"/>
              <w:right w:val="single" w:sz="8" w:space="0" w:color="000001"/>
              <w:insideH w:val="single" w:sz="8" w:space="0" w:color="00000A"/>
              <w:insideV w:val="single" w:sz="8" w:space="0" w:color="000001"/>
            </w:tcBorders>
            <w:shd w:color="000000" w:fill="CCFFFF" w:val="clear"/>
            <w:tcMar>
              <w:left w:w="10" w:type="dxa"/>
            </w:tcMar>
            <w:vAlign w:val="center"/>
          </w:tcPr>
          <w:p>
            <w:pPr>
              <w:pStyle w:val="Normal"/>
              <w:jc w:val="center"/>
              <w:rPr>
                <w:rFonts w:ascii="Marianne" w:hAnsi="Marianne"/>
                <w:sz w:val="24"/>
                <w:szCs w:val="24"/>
              </w:rPr>
            </w:pPr>
            <w:bookmarkStart w:id="1" w:name="RANGE!B45"/>
            <w:bookmarkEnd w:id="1"/>
            <w:r>
              <w:rPr>
                <w:rFonts w:ascii="Marianne" w:hAnsi="Marianne"/>
                <w:b/>
                <w:bCs/>
                <w:color w:val="000000"/>
                <w:sz w:val="24"/>
                <w:szCs w:val="24"/>
              </w:rPr>
              <w:t>CONTRIBUTIONS VOLONTAIRES</w:t>
            </w:r>
          </w:p>
        </w:tc>
      </w:tr>
      <w:tr>
        <w:trPr>
          <w:trHeight w:val="73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86 – Emplois des contributions volontaires en nature</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87 – Contributions volontaires en nature</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color w:val="000000"/>
                <w:sz w:val="20"/>
                <w:szCs w:val="20"/>
              </w:rPr>
              <w:t>860 – Secours en nature</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87 – Bénévolat</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49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color w:val="000000"/>
                <w:sz w:val="20"/>
                <w:szCs w:val="20"/>
              </w:rPr>
              <w:t>861 – Mise à disposition gratuite de biens et services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87 – Prestations en nature</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61"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color w:val="000000"/>
                <w:sz w:val="20"/>
                <w:szCs w:val="20"/>
              </w:rPr>
              <w:t>862 – Prestations</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color w:val="000000"/>
              </w:rPr>
            </w:pPr>
            <w:r>
              <w:rPr>
                <w:color w:val="000000"/>
              </w:rPr>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color w:val="000000"/>
                <w:sz w:val="20"/>
                <w:szCs w:val="20"/>
              </w:rPr>
              <w:t>864 – Personnel bénévole</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color w:val="000000"/>
                <w:sz w:val="20"/>
                <w:szCs w:val="20"/>
              </w:rPr>
              <w:t>875 – Dons en nature</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color w:val="000000"/>
              </w:rPr>
            </w:pPr>
            <w:r>
              <w:rPr>
                <w:color w:val="000000"/>
              </w:rPr>
            </w:r>
          </w:p>
        </w:tc>
      </w:tr>
      <w:tr>
        <w:trPr>
          <w:trHeight w:val="315" w:hRule="atLeast"/>
        </w:trPr>
        <w:tc>
          <w:tcPr>
            <w:tcW w:w="263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0" w:type="dxa"/>
            </w:tcMar>
            <w:vAlign w:val="center"/>
          </w:tcPr>
          <w:p>
            <w:pPr>
              <w:pStyle w:val="Normal"/>
              <w:rPr>
                <w:rFonts w:ascii="Marianne" w:hAnsi="Marianne"/>
                <w:sz w:val="20"/>
                <w:szCs w:val="20"/>
              </w:rPr>
            </w:pPr>
            <w:r>
              <w:rPr>
                <w:rFonts w:ascii="Marianne" w:hAnsi="Marianne"/>
                <w:b/>
                <w:bCs/>
                <w:color w:val="000000"/>
                <w:sz w:val="20"/>
                <w:szCs w:val="20"/>
              </w:rPr>
              <w:t>TOTAL</w:t>
            </w:r>
          </w:p>
        </w:tc>
        <w:tc>
          <w:tcPr>
            <w:tcW w:w="202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c>
          <w:tcPr>
            <w:tcW w:w="297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rPr>
                <w:rFonts w:ascii="Marianne" w:hAnsi="Marianne"/>
                <w:sz w:val="20"/>
                <w:szCs w:val="20"/>
              </w:rPr>
            </w:pPr>
            <w:r>
              <w:rPr>
                <w:rFonts w:ascii="Marianne" w:hAnsi="Marianne"/>
                <w:b/>
                <w:bCs/>
                <w:color w:val="000000"/>
                <w:sz w:val="20"/>
                <w:szCs w:val="20"/>
              </w:rPr>
              <w:t>TOTAL</w:t>
            </w:r>
          </w:p>
        </w:tc>
        <w:tc>
          <w:tcPr>
            <w:tcW w:w="2119"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000000" w:fill="FFFFFF" w:val="clear"/>
            <w:tcMar>
              <w:left w:w="19" w:type="dxa"/>
            </w:tcMar>
            <w:vAlign w:val="center"/>
          </w:tcPr>
          <w:p>
            <w:pPr>
              <w:pStyle w:val="Normal"/>
              <w:jc w:val="both"/>
              <w:rPr>
                <w:rFonts w:ascii="Marianne" w:hAnsi="Marianne"/>
                <w:b/>
                <w:b/>
                <w:bCs/>
                <w:color w:val="000000"/>
                <w:sz w:val="20"/>
                <w:szCs w:val="20"/>
              </w:rPr>
            </w:pPr>
            <w:r>
              <w:rPr>
                <w:rFonts w:ascii="Marianne" w:hAnsi="Marianne"/>
                <w:b/>
                <w:bCs/>
                <w:color w:val="000000"/>
                <w:sz w:val="20"/>
                <w:szCs w:val="20"/>
              </w:rPr>
            </w:r>
          </w:p>
        </w:tc>
      </w:tr>
    </w:tbl>
    <w:p>
      <w:pPr>
        <w:pStyle w:val="Normal"/>
        <w:rPr/>
      </w:pPr>
      <w:r>
        <w:rPr/>
      </w:r>
    </w:p>
    <w:sectPr>
      <w:headerReference w:type="default" r:id="rId2"/>
      <w:headerReference w:type="first" r:id="rId3"/>
      <w:type w:val="nextPage"/>
      <w:pgSz w:w="11906" w:h="16838"/>
      <w:pgMar w:left="1417" w:right="1417" w:header="708" w:top="1417" w:footer="0"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Univers">
    <w:charset w:val="00"/>
    <w:family w:val="roman"/>
    <w:pitch w:val="variable"/>
  </w:font>
  <w:font w:name="Marianne">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rFonts w:ascii="Arial" w:hAnsi="Arial"/>
        <w:b/>
        <w:b/>
        <w:bCs/>
        <w:sz w:val="28"/>
        <w:szCs w:val="28"/>
      </w:rPr>
    </w:pPr>
    <w:r>
      <w:rPr>
        <w:rFonts w:ascii="Arial" w:hAnsi="Arial"/>
        <w:b/>
        <w:bCs/>
        <w:sz w:val="28"/>
        <w:szCs w:val="28"/>
      </w:rPr>
      <w:drawing>
        <wp:anchor behindDoc="1" distT="0" distB="0" distL="0" distR="0" simplePos="0" locked="0" layoutInCell="1" allowOverlap="1" relativeHeight="2">
          <wp:simplePos x="0" y="0"/>
          <wp:positionH relativeFrom="column">
            <wp:posOffset>-125095</wp:posOffset>
          </wp:positionH>
          <wp:positionV relativeFrom="paragraph">
            <wp:posOffset>-62230</wp:posOffset>
          </wp:positionV>
          <wp:extent cx="1158240" cy="117221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124" t="-122" r="-124" b="-122"/>
                  <a:stretch>
                    <a:fillRect/>
                  </a:stretch>
                </pic:blipFill>
                <pic:spPr bwMode="auto">
                  <a:xfrm>
                    <a:off x="0" y="0"/>
                    <a:ext cx="1158240" cy="1172210"/>
                  </a:xfrm>
                  <a:prstGeom prst="rect">
                    <a:avLst/>
                  </a:prstGeom>
                </pic:spPr>
              </pic:pic>
            </a:graphicData>
          </a:graphic>
        </wp:anchor>
      </w:drawing>
    </w:r>
  </w:p>
  <w:p>
    <w:pPr>
      <w:pStyle w:val="Entte"/>
      <w:jc w:val="right"/>
      <w:rPr>
        <w:rFonts w:ascii="Arial" w:hAnsi="Arial"/>
        <w:b/>
        <w:b/>
        <w:bCs/>
        <w:sz w:val="28"/>
        <w:szCs w:val="28"/>
      </w:rPr>
    </w:pPr>
    <w:r>
      <w:rPr>
        <w:rFonts w:ascii="Arial" w:hAnsi="Arial"/>
        <w:b/>
        <w:bCs/>
        <w:sz w:val="28"/>
        <w:szCs w:val="28"/>
      </w:rPr>
      <w:t>Direction départementale</w:t>
    </w:r>
  </w:p>
  <w:p>
    <w:pPr>
      <w:pStyle w:val="Entte"/>
      <w:jc w:val="right"/>
      <w:rPr>
        <w:rFonts w:ascii="Arial" w:hAnsi="Arial"/>
        <w:b/>
        <w:b/>
        <w:bCs/>
        <w:sz w:val="28"/>
        <w:szCs w:val="28"/>
      </w:rPr>
    </w:pPr>
    <w:r>
      <w:rPr>
        <w:rFonts w:ascii="Arial" w:hAnsi="Arial"/>
        <w:b/>
        <w:bCs/>
        <w:sz w:val="28"/>
        <w:szCs w:val="28"/>
      </w:rPr>
      <w:t>de l’emploi, du travail, des solidarités</w:t>
    </w:r>
  </w:p>
  <w:p>
    <w:pPr>
      <w:pStyle w:val="Entte"/>
      <w:jc w:val="right"/>
      <w:rPr>
        <w:rFonts w:ascii="Arial" w:hAnsi="Arial"/>
        <w:b/>
        <w:b/>
        <w:bCs/>
        <w:sz w:val="28"/>
        <w:szCs w:val="28"/>
      </w:rPr>
    </w:pPr>
    <w:r>
      <w:rPr>
        <w:rFonts w:cs="Arial" w:ascii="Arial" w:hAnsi="Arial"/>
        <w:b/>
        <w:bCs/>
        <w:sz w:val="28"/>
        <w:szCs w:val="28"/>
      </w:rPr>
      <w:t>et de la protection des populations</w:t>
    </w:r>
  </w:p>
  <w:p>
    <w:pPr>
      <w:pStyle w:val="Entte"/>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7e1a"/>
    <w:pPr>
      <w:widowControl/>
      <w:bidi w:val="0"/>
      <w:spacing w:lineRule="auto" w:line="240" w:before="0" w:after="0"/>
      <w:jc w:val="left"/>
    </w:pPr>
    <w:rPr>
      <w:rFonts w:ascii="Times New Roman" w:hAnsi="Times New Roman" w:eastAsia="Times New Roman" w:cs="Times New Roman"/>
      <w:color w:val="00000A"/>
      <w:kern w:val="0"/>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b77db"/>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db77db"/>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uiPriority w:val="99"/>
    <w:semiHidden/>
    <w:qFormat/>
    <w:rsid w:val="00206a63"/>
    <w:rPr>
      <w:rFonts w:ascii="Segoe UI" w:hAnsi="Segoe UI" w:eastAsia="Times New Roman" w:cs="Segoe UI"/>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db77db"/>
    <w:pPr>
      <w:tabs>
        <w:tab w:val="center" w:pos="4536" w:leader="none"/>
        <w:tab w:val="right" w:pos="9072" w:leader="none"/>
      </w:tabs>
    </w:pPr>
    <w:rPr/>
  </w:style>
  <w:style w:type="paragraph" w:styleId="Pieddepage">
    <w:name w:val="Footer"/>
    <w:basedOn w:val="Normal"/>
    <w:link w:val="PieddepageCar"/>
    <w:uiPriority w:val="99"/>
    <w:unhideWhenUsed/>
    <w:rsid w:val="00db77db"/>
    <w:pPr>
      <w:tabs>
        <w:tab w:val="center" w:pos="4536" w:leader="none"/>
        <w:tab w:val="right" w:pos="9072" w:leader="none"/>
      </w:tabs>
    </w:pPr>
    <w:rPr/>
  </w:style>
  <w:style w:type="paragraph" w:styleId="BalloonText">
    <w:name w:val="Balloon Text"/>
    <w:basedOn w:val="Normal"/>
    <w:link w:val="TextedebullesCar"/>
    <w:uiPriority w:val="99"/>
    <w:semiHidden/>
    <w:unhideWhenUsed/>
    <w:qFormat/>
    <w:rsid w:val="00206a63"/>
    <w:pPr/>
    <w:rPr>
      <w:rFonts w:ascii="Segoe UI" w:hAnsi="Segoe UI" w:cs="Segoe UI"/>
      <w:sz w:val="18"/>
      <w:szCs w:val="18"/>
    </w:rPr>
  </w:style>
  <w:style w:type="paragraph" w:styleId="NormalWeb">
    <w:name w:val="Normal (Web)"/>
    <w:basedOn w:val="Normal"/>
    <w:qFormat/>
    <w:pPr>
      <w:spacing w:beforeAutospacing="1" w:afterAutospacing="1"/>
    </w:pPr>
    <w:rPr>
      <w:sz w:val="24"/>
      <w:szCs w:val="24"/>
    </w:rPr>
  </w:style>
  <w:style w:type="paragraph" w:styleId="Style14">
    <w:name w:val="§"/>
    <w:basedOn w:val="Normal"/>
    <w:qFormat/>
    <w:pPr>
      <w:jc w:val="both"/>
    </w:pPr>
    <w:rPr>
      <w:rFonts w:ascii="Univers" w:hAnsi="Univers"/>
      <w:sz w:val="22"/>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3</Pages>
  <Words>386</Words>
  <Characters>2415</Characters>
  <CharactersWithSpaces>2789</CharactersWithSpaces>
  <Paragraphs>126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2022-04-27T17:27:49Z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